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DB91" w14:textId="17C1FFFF" w:rsidR="00D80E09" w:rsidRPr="00C3439C" w:rsidRDefault="0007227C" w:rsidP="00C3439C">
      <w:pPr>
        <w:shd w:val="clear" w:color="auto" w:fill="FFFFFF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 w:rsidRPr="00C3439C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INVESTOR SERVICES &amp; NOMINATION</w:t>
      </w:r>
    </w:p>
    <w:p w14:paraId="7BD82967" w14:textId="77777777" w:rsidR="0007227C" w:rsidRPr="00D80E09" w:rsidRDefault="0007227C" w:rsidP="00C3439C">
      <w:pPr>
        <w:shd w:val="clear" w:color="auto" w:fill="FFFFFF"/>
        <w:contextualSpacing/>
        <w:jc w:val="both"/>
        <w:outlineLvl w:val="4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2841174E" w14:textId="088692BC" w:rsidR="00D80E09" w:rsidRPr="00C3439C" w:rsidRDefault="00D80E09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>The Securities and Exchange Board of India (“SEBI”) has by circular No. SEBI / HO / MIRSD / MIRSD_RTAMB / P / CIR / 2021 / 655 dated 3rd </w:t>
      </w:r>
      <w:proofErr w:type="gramStart"/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>November,</w:t>
      </w:r>
      <w:proofErr w:type="gramEnd"/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 xml:space="preserve"> 2021 laid down common and simplified norms for processing shareholder’s service request by RTAs. The circular, effective from 1st </w:t>
      </w:r>
      <w:proofErr w:type="gramStart"/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>January,</w:t>
      </w:r>
      <w:proofErr w:type="gramEnd"/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 xml:space="preserve"> 2022, also provides for mandatory furnishing of PAN, KYC details, nomination; freezing of folios without valid PAN, KYC details; compulsory linking of PAN and Aadhaar by shareholders in physical form, among others. Further, by Circular No. SEBI/HO/MIRSD/MIRSD_RTAMB/P/CIR/2021/687 dated 14th </w:t>
      </w:r>
      <w:proofErr w:type="gramStart"/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>December,</w:t>
      </w:r>
      <w:proofErr w:type="gramEnd"/>
      <w:r w:rsidRPr="00D80E09">
        <w:rPr>
          <w:rFonts w:ascii="Times New Roman" w:eastAsia="Times New Roman" w:hAnsi="Times New Roman" w:cs="Times New Roman"/>
          <w:color w:val="333333"/>
          <w:lang w:eastAsia="en-IN"/>
        </w:rPr>
        <w:t xml:space="preserve"> 2021; SEBI has issued some clarifications to the circular dated 3rd November, 2021(collectively referred to as ‘the Circulars’).</w:t>
      </w:r>
    </w:p>
    <w:p w14:paraId="2DB7F982" w14:textId="77777777" w:rsidR="0007227C" w:rsidRPr="00D80E09" w:rsidRDefault="0007227C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4D5080B6" w14:textId="77777777" w:rsidR="00D80E09" w:rsidRPr="00C3439C" w:rsidRDefault="00D80E09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C3439C">
        <w:rPr>
          <w:rStyle w:val="Strong"/>
          <w:color w:val="333333"/>
          <w:sz w:val="22"/>
          <w:szCs w:val="22"/>
        </w:rPr>
        <w:t>It is in your interest to provide the details / documents. If already provided, please treat this communication for information purpose only.</w:t>
      </w:r>
    </w:p>
    <w:p w14:paraId="414F2460" w14:textId="77777777" w:rsidR="0007227C" w:rsidRPr="00C3439C" w:rsidRDefault="0007227C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color w:val="333333"/>
          <w:sz w:val="22"/>
          <w:szCs w:val="22"/>
        </w:rPr>
      </w:pPr>
    </w:p>
    <w:p w14:paraId="2466A581" w14:textId="05EBC772" w:rsidR="00D80E09" w:rsidRPr="00C3439C" w:rsidRDefault="00D80E09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C3439C">
        <w:rPr>
          <w:rStyle w:val="Strong"/>
          <w:color w:val="333333"/>
          <w:sz w:val="22"/>
          <w:szCs w:val="22"/>
        </w:rPr>
        <w:t xml:space="preserve">Please submit the documents / details listed in the table below to </w:t>
      </w:r>
      <w:proofErr w:type="spellStart"/>
      <w:r w:rsidRPr="00C3439C">
        <w:rPr>
          <w:rStyle w:val="Strong"/>
          <w:color w:val="333333"/>
          <w:sz w:val="22"/>
          <w:szCs w:val="22"/>
        </w:rPr>
        <w:t>KFin</w:t>
      </w:r>
      <w:proofErr w:type="spellEnd"/>
      <w:r w:rsidRPr="00C3439C">
        <w:rPr>
          <w:rStyle w:val="Strong"/>
          <w:color w:val="333333"/>
          <w:sz w:val="22"/>
          <w:szCs w:val="22"/>
        </w:rPr>
        <w:t>, (self-attested) at the following address:</w:t>
      </w:r>
    </w:p>
    <w:p w14:paraId="10E8021C" w14:textId="59A0269D" w:rsidR="00D80E09" w:rsidRPr="00C3439C" w:rsidRDefault="00D80E09" w:rsidP="00C3439C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b w:val="0"/>
          <w:bCs w:val="0"/>
          <w:color w:val="333333"/>
          <w:sz w:val="22"/>
          <w:szCs w:val="22"/>
        </w:rPr>
      </w:pPr>
      <w:proofErr w:type="spellStart"/>
      <w:r w:rsidRPr="00C3439C">
        <w:rPr>
          <w:rStyle w:val="Strong"/>
          <w:color w:val="333333"/>
          <w:sz w:val="22"/>
          <w:szCs w:val="22"/>
        </w:rPr>
        <w:t>KFin</w:t>
      </w:r>
      <w:proofErr w:type="spellEnd"/>
      <w:r w:rsidRPr="00C3439C">
        <w:rPr>
          <w:rStyle w:val="Strong"/>
          <w:color w:val="333333"/>
          <w:sz w:val="22"/>
          <w:szCs w:val="22"/>
        </w:rPr>
        <w:t xml:space="preserve"> Technologies Limited    </w:t>
      </w:r>
      <w:r w:rsidRPr="00C3439C">
        <w:rPr>
          <w:color w:val="333333"/>
          <w:sz w:val="22"/>
          <w:szCs w:val="22"/>
        </w:rPr>
        <w:br/>
      </w:r>
      <w:r w:rsidRPr="00C3439C">
        <w:rPr>
          <w:rStyle w:val="Strong"/>
          <w:b w:val="0"/>
          <w:bCs w:val="0"/>
          <w:color w:val="333333"/>
          <w:sz w:val="22"/>
          <w:szCs w:val="22"/>
        </w:rPr>
        <w:t xml:space="preserve">Unit: </w:t>
      </w:r>
      <w:r w:rsidRPr="00C3439C">
        <w:rPr>
          <w:rStyle w:val="Strong"/>
          <w:b w:val="0"/>
          <w:bCs w:val="0"/>
          <w:color w:val="333333"/>
          <w:sz w:val="22"/>
          <w:szCs w:val="22"/>
        </w:rPr>
        <w:t>XCHANGING SOLUTIONS</w:t>
      </w:r>
      <w:r w:rsidRPr="00C3439C">
        <w:rPr>
          <w:rStyle w:val="Strong"/>
          <w:b w:val="0"/>
          <w:bCs w:val="0"/>
          <w:color w:val="333333"/>
          <w:sz w:val="22"/>
          <w:szCs w:val="22"/>
        </w:rPr>
        <w:t xml:space="preserve"> LIMITED</w:t>
      </w:r>
      <w:r w:rsidRPr="00C3439C">
        <w:rPr>
          <w:color w:val="333333"/>
          <w:sz w:val="22"/>
          <w:szCs w:val="22"/>
        </w:rPr>
        <w:br/>
      </w:r>
      <w:r w:rsidRPr="00C3439C">
        <w:rPr>
          <w:rStyle w:val="Strong"/>
          <w:b w:val="0"/>
          <w:bCs w:val="0"/>
          <w:color w:val="333333"/>
          <w:sz w:val="22"/>
          <w:szCs w:val="22"/>
        </w:rPr>
        <w:t>Selenium Tower B, Plot Nos.31 &amp; 32 | Financial District   </w:t>
      </w:r>
      <w:r w:rsidRPr="00C3439C">
        <w:rPr>
          <w:color w:val="333333"/>
          <w:sz w:val="22"/>
          <w:szCs w:val="22"/>
        </w:rPr>
        <w:br/>
      </w:r>
      <w:proofErr w:type="spellStart"/>
      <w:r w:rsidRPr="00C3439C">
        <w:rPr>
          <w:rStyle w:val="Strong"/>
          <w:b w:val="0"/>
          <w:bCs w:val="0"/>
          <w:color w:val="333333"/>
          <w:sz w:val="22"/>
          <w:szCs w:val="22"/>
        </w:rPr>
        <w:t>Nanakramguda</w:t>
      </w:r>
      <w:proofErr w:type="spellEnd"/>
      <w:r w:rsidRPr="00C3439C">
        <w:rPr>
          <w:rStyle w:val="Strong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C3439C">
        <w:rPr>
          <w:rStyle w:val="Strong"/>
          <w:b w:val="0"/>
          <w:bCs w:val="0"/>
          <w:color w:val="333333"/>
          <w:sz w:val="22"/>
          <w:szCs w:val="22"/>
        </w:rPr>
        <w:t>Serilingampally</w:t>
      </w:r>
      <w:proofErr w:type="spellEnd"/>
      <w:r w:rsidRPr="00C3439C">
        <w:rPr>
          <w:rStyle w:val="Strong"/>
          <w:b w:val="0"/>
          <w:bCs w:val="0"/>
          <w:color w:val="333333"/>
          <w:sz w:val="22"/>
          <w:szCs w:val="22"/>
        </w:rPr>
        <w:t xml:space="preserve"> Mandal, Hyderabad – 500032</w:t>
      </w:r>
    </w:p>
    <w:p w14:paraId="6FF64B6B" w14:textId="56B847C6" w:rsidR="006D068C" w:rsidRPr="00C3439C" w:rsidRDefault="006D068C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2936CF" w:rsidRPr="00C3439C" w14:paraId="462757B3" w14:textId="77777777" w:rsidTr="00D834EF">
        <w:tc>
          <w:tcPr>
            <w:tcW w:w="988" w:type="dxa"/>
            <w:vAlign w:val="center"/>
          </w:tcPr>
          <w:p w14:paraId="3BCF2CEF" w14:textId="4BDE4C3B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C3439C">
              <w:rPr>
                <w:b/>
                <w:bCs/>
                <w:color w:val="333333"/>
                <w:sz w:val="22"/>
                <w:szCs w:val="22"/>
              </w:rPr>
              <w:t>Sr.No</w:t>
            </w:r>
            <w:proofErr w:type="spellEnd"/>
            <w:r w:rsidRPr="00C3439C">
              <w:rPr>
                <w:b/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5022" w:type="dxa"/>
            <w:vAlign w:val="center"/>
          </w:tcPr>
          <w:p w14:paraId="15FBB0B5" w14:textId="2A1F4482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b/>
                <w:bCs/>
                <w:color w:val="333333"/>
                <w:sz w:val="22"/>
                <w:szCs w:val="22"/>
              </w:rPr>
              <w:t>Documents / details to be provided by shareholder(s)</w:t>
            </w:r>
          </w:p>
        </w:tc>
        <w:tc>
          <w:tcPr>
            <w:tcW w:w="3006" w:type="dxa"/>
            <w:vAlign w:val="center"/>
          </w:tcPr>
          <w:p w14:paraId="73B6C819" w14:textId="0C93F73C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b/>
                <w:bCs/>
                <w:color w:val="333333"/>
                <w:sz w:val="22"/>
                <w:szCs w:val="22"/>
              </w:rPr>
              <w:t>Please furnish details in*</w:t>
            </w:r>
          </w:p>
        </w:tc>
      </w:tr>
      <w:tr w:rsidR="00D834EF" w:rsidRPr="00C3439C" w14:paraId="4751137D" w14:textId="77777777" w:rsidTr="00D834EF">
        <w:tc>
          <w:tcPr>
            <w:tcW w:w="988" w:type="dxa"/>
            <w:vAlign w:val="center"/>
          </w:tcPr>
          <w:p w14:paraId="6E5C482A" w14:textId="238081A1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022" w:type="dxa"/>
            <w:vAlign w:val="center"/>
          </w:tcPr>
          <w:p w14:paraId="654960CD" w14:textId="13F9C63F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Valid Pan Linked with Aadhaar</w:t>
            </w:r>
          </w:p>
        </w:tc>
        <w:tc>
          <w:tcPr>
            <w:tcW w:w="3006" w:type="dxa"/>
            <w:vMerge w:val="restart"/>
            <w:vAlign w:val="center"/>
          </w:tcPr>
          <w:p w14:paraId="4B1387E4" w14:textId="703720AC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Form No. ISR-1</w:t>
            </w:r>
          </w:p>
        </w:tc>
      </w:tr>
      <w:tr w:rsidR="00D834EF" w:rsidRPr="00C3439C" w14:paraId="1BBACE20" w14:textId="77777777" w:rsidTr="00D834EF">
        <w:tc>
          <w:tcPr>
            <w:tcW w:w="988" w:type="dxa"/>
            <w:vAlign w:val="center"/>
          </w:tcPr>
          <w:p w14:paraId="0C657E33" w14:textId="0DED52C2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022" w:type="dxa"/>
            <w:vAlign w:val="center"/>
          </w:tcPr>
          <w:p w14:paraId="2CA73190" w14:textId="648CA215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Postal Address with PIN</w:t>
            </w:r>
          </w:p>
        </w:tc>
        <w:tc>
          <w:tcPr>
            <w:tcW w:w="3006" w:type="dxa"/>
            <w:vMerge/>
            <w:vAlign w:val="center"/>
          </w:tcPr>
          <w:p w14:paraId="25251C48" w14:textId="77777777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D834EF" w:rsidRPr="00C3439C" w14:paraId="2F32AEBC" w14:textId="77777777" w:rsidTr="00D834EF">
        <w:tc>
          <w:tcPr>
            <w:tcW w:w="988" w:type="dxa"/>
            <w:vAlign w:val="center"/>
          </w:tcPr>
          <w:p w14:paraId="68825E8A" w14:textId="0232F605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022" w:type="dxa"/>
            <w:vAlign w:val="center"/>
          </w:tcPr>
          <w:p w14:paraId="6C71C7D2" w14:textId="7814D0FD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Email address</w:t>
            </w:r>
          </w:p>
        </w:tc>
        <w:tc>
          <w:tcPr>
            <w:tcW w:w="3006" w:type="dxa"/>
            <w:vMerge/>
            <w:vAlign w:val="center"/>
          </w:tcPr>
          <w:p w14:paraId="640BAE82" w14:textId="77777777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D834EF" w:rsidRPr="00C3439C" w14:paraId="543C2238" w14:textId="77777777" w:rsidTr="00D834EF">
        <w:tc>
          <w:tcPr>
            <w:tcW w:w="988" w:type="dxa"/>
            <w:vAlign w:val="center"/>
          </w:tcPr>
          <w:p w14:paraId="46661F4A" w14:textId="51A27C70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022" w:type="dxa"/>
            <w:vAlign w:val="center"/>
          </w:tcPr>
          <w:p w14:paraId="56CB2E2D" w14:textId="618CAF46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Mobile Number</w:t>
            </w:r>
          </w:p>
        </w:tc>
        <w:tc>
          <w:tcPr>
            <w:tcW w:w="3006" w:type="dxa"/>
            <w:vMerge/>
            <w:vAlign w:val="center"/>
          </w:tcPr>
          <w:p w14:paraId="4BB75B73" w14:textId="77777777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D834EF" w:rsidRPr="00C3439C" w14:paraId="76CED9E1" w14:textId="77777777" w:rsidTr="00D834EF">
        <w:tc>
          <w:tcPr>
            <w:tcW w:w="988" w:type="dxa"/>
            <w:vAlign w:val="center"/>
          </w:tcPr>
          <w:p w14:paraId="21F99736" w14:textId="6D2D016B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5022" w:type="dxa"/>
            <w:vAlign w:val="center"/>
          </w:tcPr>
          <w:p w14:paraId="7F2AB66C" w14:textId="729C62C6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C3439C">
              <w:rPr>
                <w:color w:val="333333"/>
                <w:sz w:val="22"/>
                <w:szCs w:val="22"/>
              </w:rPr>
              <w:t>Demat</w:t>
            </w:r>
            <w:proofErr w:type="spellEnd"/>
            <w:r w:rsidRPr="00C3439C">
              <w:rPr>
                <w:color w:val="333333"/>
                <w:sz w:val="22"/>
                <w:szCs w:val="22"/>
              </w:rPr>
              <w:t xml:space="preserve"> account details</w:t>
            </w:r>
          </w:p>
        </w:tc>
        <w:tc>
          <w:tcPr>
            <w:tcW w:w="3006" w:type="dxa"/>
            <w:vMerge/>
            <w:vAlign w:val="center"/>
          </w:tcPr>
          <w:p w14:paraId="24A55C33" w14:textId="77777777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D834EF" w:rsidRPr="00C3439C" w14:paraId="54A415E9" w14:textId="77777777" w:rsidTr="00D834EF">
        <w:tc>
          <w:tcPr>
            <w:tcW w:w="988" w:type="dxa"/>
            <w:vAlign w:val="center"/>
          </w:tcPr>
          <w:p w14:paraId="78898645" w14:textId="74863E56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022" w:type="dxa"/>
            <w:vAlign w:val="center"/>
          </w:tcPr>
          <w:p w14:paraId="4EF0F6E2" w14:textId="5D12658C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Bank account details</w:t>
            </w:r>
          </w:p>
        </w:tc>
        <w:tc>
          <w:tcPr>
            <w:tcW w:w="3006" w:type="dxa"/>
            <w:vMerge/>
            <w:vAlign w:val="center"/>
          </w:tcPr>
          <w:p w14:paraId="0D3C12A6" w14:textId="77777777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2936CF" w:rsidRPr="00C3439C" w14:paraId="6753C13C" w14:textId="77777777" w:rsidTr="00D834EF">
        <w:tc>
          <w:tcPr>
            <w:tcW w:w="988" w:type="dxa"/>
            <w:vAlign w:val="center"/>
          </w:tcPr>
          <w:p w14:paraId="35E980E9" w14:textId="25CE92E3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5022" w:type="dxa"/>
            <w:vAlign w:val="center"/>
          </w:tcPr>
          <w:p w14:paraId="5A032862" w14:textId="00E5DEF1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Signature (in case of change in signature)</w:t>
            </w:r>
          </w:p>
        </w:tc>
        <w:tc>
          <w:tcPr>
            <w:tcW w:w="3006" w:type="dxa"/>
            <w:vAlign w:val="center"/>
          </w:tcPr>
          <w:p w14:paraId="46312B37" w14:textId="0DA67A2D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Form No. ISR-2</w:t>
            </w:r>
          </w:p>
        </w:tc>
      </w:tr>
      <w:tr w:rsidR="002936CF" w:rsidRPr="00C3439C" w14:paraId="119D56E6" w14:textId="77777777" w:rsidTr="00D834EF">
        <w:tc>
          <w:tcPr>
            <w:tcW w:w="988" w:type="dxa"/>
            <w:vAlign w:val="center"/>
          </w:tcPr>
          <w:p w14:paraId="4364B478" w14:textId="46A9D3C9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5022" w:type="dxa"/>
            <w:vAlign w:val="center"/>
          </w:tcPr>
          <w:p w14:paraId="096C2F3F" w14:textId="7C2E9747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Nomination details</w:t>
            </w:r>
          </w:p>
        </w:tc>
        <w:tc>
          <w:tcPr>
            <w:tcW w:w="3006" w:type="dxa"/>
            <w:vAlign w:val="center"/>
          </w:tcPr>
          <w:p w14:paraId="165D3A96" w14:textId="226E6B71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Form No. SH-13</w:t>
            </w:r>
          </w:p>
        </w:tc>
      </w:tr>
      <w:tr w:rsidR="002936CF" w:rsidRPr="00C3439C" w14:paraId="387A2460" w14:textId="77777777" w:rsidTr="00D834EF">
        <w:tc>
          <w:tcPr>
            <w:tcW w:w="988" w:type="dxa"/>
            <w:vAlign w:val="center"/>
          </w:tcPr>
          <w:p w14:paraId="68D3426A" w14:textId="011C9037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5022" w:type="dxa"/>
            <w:vAlign w:val="center"/>
          </w:tcPr>
          <w:p w14:paraId="0BA7CBDB" w14:textId="3FD5505E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Declaration to opt-out of nomination</w:t>
            </w:r>
          </w:p>
        </w:tc>
        <w:tc>
          <w:tcPr>
            <w:tcW w:w="3006" w:type="dxa"/>
            <w:vAlign w:val="center"/>
          </w:tcPr>
          <w:p w14:paraId="3F4440E3" w14:textId="7578FD70" w:rsidR="002936CF" w:rsidRPr="00C3439C" w:rsidRDefault="002936C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Form No. ISR-3</w:t>
            </w:r>
          </w:p>
        </w:tc>
      </w:tr>
      <w:tr w:rsidR="00D834EF" w:rsidRPr="00C3439C" w14:paraId="3E37D36A" w14:textId="77777777" w:rsidTr="00D834EF">
        <w:tc>
          <w:tcPr>
            <w:tcW w:w="988" w:type="dxa"/>
            <w:vAlign w:val="center"/>
          </w:tcPr>
          <w:p w14:paraId="0D0F8423" w14:textId="63E5B690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5022" w:type="dxa"/>
            <w:vAlign w:val="center"/>
          </w:tcPr>
          <w:p w14:paraId="274CEDAF" w14:textId="7E9996A3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Cancellation of nomination</w:t>
            </w:r>
          </w:p>
        </w:tc>
        <w:tc>
          <w:tcPr>
            <w:tcW w:w="3006" w:type="dxa"/>
            <w:vAlign w:val="center"/>
          </w:tcPr>
          <w:p w14:paraId="4D472A8A" w14:textId="6534F3BB" w:rsidR="00D834EF" w:rsidRPr="00C3439C" w:rsidRDefault="00D834EF" w:rsidP="00C3439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C3439C">
              <w:rPr>
                <w:color w:val="333333"/>
                <w:sz w:val="22"/>
                <w:szCs w:val="22"/>
              </w:rPr>
              <w:t>Form No. SH-14</w:t>
            </w:r>
          </w:p>
        </w:tc>
      </w:tr>
    </w:tbl>
    <w:p w14:paraId="76A6532A" w14:textId="65D16319" w:rsidR="006D068C" w:rsidRPr="00C3439C" w:rsidRDefault="006D068C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color w:val="333333"/>
          <w:sz w:val="22"/>
          <w:szCs w:val="22"/>
        </w:rPr>
      </w:pPr>
    </w:p>
    <w:p w14:paraId="14A39A91" w14:textId="154C143E" w:rsidR="006D068C" w:rsidRPr="00C3439C" w:rsidRDefault="006D068C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color w:val="333333"/>
          <w:sz w:val="22"/>
          <w:szCs w:val="22"/>
        </w:rPr>
      </w:pPr>
      <w:r w:rsidRPr="00C3439C">
        <w:rPr>
          <w:rStyle w:val="Strong"/>
          <w:b w:val="0"/>
          <w:bCs w:val="0"/>
          <w:color w:val="333333"/>
          <w:sz w:val="22"/>
          <w:szCs w:val="22"/>
        </w:rPr>
        <w:t>(*The af</w:t>
      </w:r>
      <w:r w:rsidRPr="00E6310A">
        <w:rPr>
          <w:rStyle w:val="Strong"/>
          <w:b w:val="0"/>
          <w:bCs w:val="0"/>
          <w:color w:val="333333"/>
          <w:sz w:val="22"/>
          <w:szCs w:val="22"/>
        </w:rPr>
        <w:t>oresaid forms are attached and can also be downloaded from the Company’s website </w:t>
      </w:r>
      <w:hyperlink r:id="rId5" w:history="1">
        <w:r w:rsidR="00C3439C" w:rsidRPr="00E6310A">
          <w:rPr>
            <w:rStyle w:val="Strong"/>
            <w:b w:val="0"/>
            <w:bCs w:val="0"/>
            <w:color w:val="333333"/>
          </w:rPr>
          <w:t>https://dxc.com/in/en/about-us/xchanging-solutions-limited-investor-relations or that of KFin www.kfintech.com).</w:t>
        </w:r>
      </w:hyperlink>
    </w:p>
    <w:p w14:paraId="60CD02FC" w14:textId="77777777" w:rsidR="00D834EF" w:rsidRPr="00C3439C" w:rsidRDefault="00D834EF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</w:p>
    <w:p w14:paraId="45E3AF2A" w14:textId="2B2E6201" w:rsidR="006D068C" w:rsidRPr="00C3439C" w:rsidRDefault="00AF36D0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color w:val="333333"/>
          <w:sz w:val="22"/>
          <w:szCs w:val="22"/>
        </w:rPr>
      </w:pPr>
      <w:r w:rsidRPr="00C3439C">
        <w:rPr>
          <w:rStyle w:val="Strong"/>
          <w:b w:val="0"/>
          <w:bCs w:val="0"/>
          <w:color w:val="333333"/>
          <w:sz w:val="22"/>
          <w:szCs w:val="22"/>
        </w:rPr>
        <w:t xml:space="preserve">You can also e-mail the documents through your email registered with </w:t>
      </w:r>
      <w:proofErr w:type="spellStart"/>
      <w:r w:rsidRPr="00C3439C">
        <w:rPr>
          <w:rStyle w:val="Strong"/>
          <w:b w:val="0"/>
          <w:bCs w:val="0"/>
          <w:color w:val="333333"/>
          <w:sz w:val="22"/>
          <w:szCs w:val="22"/>
        </w:rPr>
        <w:t>KFin</w:t>
      </w:r>
      <w:proofErr w:type="spellEnd"/>
      <w:r w:rsidRPr="00C3439C">
        <w:rPr>
          <w:rStyle w:val="Strong"/>
          <w:b w:val="0"/>
          <w:bCs w:val="0"/>
          <w:color w:val="333333"/>
          <w:sz w:val="22"/>
          <w:szCs w:val="22"/>
        </w:rPr>
        <w:t>, to </w:t>
      </w:r>
      <w:hyperlink r:id="rId6" w:history="1">
        <w:r w:rsidRPr="00C3439C">
          <w:rPr>
            <w:rStyle w:val="Strong"/>
            <w:b w:val="0"/>
            <w:bCs w:val="0"/>
            <w:color w:val="333333"/>
            <w:sz w:val="22"/>
            <w:szCs w:val="22"/>
          </w:rPr>
          <w:t>einward.ris@kfintech.com duly e-signed. E-Sign is an integrated service which facilitates issuing a digital signature certificate and performing signing of requested data by the e-Sign user. You may approach any of the empanelled e-Sign Service Providers, details of which are available on the website of Controller of Certifying Authorities (CCA), Ministry of Communications and Information Technology, Government of India (https://cca.gov.in/) for the purposes of obtaining the e-sign.</w:t>
        </w:r>
      </w:hyperlink>
    </w:p>
    <w:p w14:paraId="2D728FA4" w14:textId="1EFD40CD" w:rsidR="00BB484E" w:rsidRPr="00C3439C" w:rsidRDefault="00BB484E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color w:val="333333"/>
          <w:sz w:val="22"/>
          <w:szCs w:val="22"/>
        </w:rPr>
      </w:pPr>
    </w:p>
    <w:p w14:paraId="5891B53B" w14:textId="77777777" w:rsidR="00BB484E" w:rsidRPr="00BB484E" w:rsidRDefault="00BB484E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 w:rsidRPr="00BB484E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Freezing of Folios without PAN, KYC details and Nomination</w:t>
      </w:r>
    </w:p>
    <w:p w14:paraId="2477E624" w14:textId="77777777" w:rsidR="00BB484E" w:rsidRPr="00C3439C" w:rsidRDefault="00BB484E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68E27ABD" w14:textId="448E3E91" w:rsidR="00BB484E" w:rsidRPr="00C3439C" w:rsidRDefault="00BB484E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Folios wherein any one of the </w:t>
      </w:r>
      <w:proofErr w:type="gram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above mentioned</w:t>
      </w:r>
      <w:proofErr w:type="gram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documents / details are not available on or after 1st April, 2023, shall be frozen by </w:t>
      </w:r>
      <w:proofErr w:type="spell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KFin</w:t>
      </w:r>
      <w:proofErr w:type="spell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/ the Company in terms of the Circulars. The frozen folios will be referred by </w:t>
      </w:r>
      <w:proofErr w:type="spell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KFin</w:t>
      </w:r>
      <w:proofErr w:type="spell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the Company to the administering authority under the Benami Transactions (Prohibitions) Act, 1988 and or Prevention of Money Laundering Act, 2002, if they continue to remain frozen as on 31st </w:t>
      </w:r>
      <w:proofErr w:type="gram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December,</w:t>
      </w:r>
      <w:proofErr w:type="gram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2025.</w:t>
      </w:r>
    </w:p>
    <w:p w14:paraId="20031918" w14:textId="31E66E15" w:rsidR="00C3439C" w:rsidRPr="00C3439C" w:rsidRDefault="00C3439C" w:rsidP="00C3439C">
      <w:pPr>
        <w:contextualSpacing/>
        <w:rPr>
          <w:rFonts w:ascii="Times New Roman" w:eastAsia="Times New Roman" w:hAnsi="Times New Roman" w:cs="Times New Roman"/>
          <w:color w:val="333333"/>
          <w:lang w:eastAsia="en-IN"/>
        </w:rPr>
      </w:pPr>
      <w:r w:rsidRPr="00C3439C">
        <w:rPr>
          <w:rFonts w:ascii="Times New Roman" w:eastAsia="Times New Roman" w:hAnsi="Times New Roman" w:cs="Times New Roman"/>
          <w:color w:val="333333"/>
          <w:lang w:eastAsia="en-IN"/>
        </w:rPr>
        <w:br w:type="page"/>
      </w:r>
    </w:p>
    <w:p w14:paraId="538B8A7D" w14:textId="77777777" w:rsidR="00BB484E" w:rsidRPr="00BB484E" w:rsidRDefault="00BB484E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 w:rsidRPr="00BB484E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lastRenderedPageBreak/>
        <w:t>Compulsory linking of PAN and Aadhaar by all shareholders in physical mode</w:t>
      </w:r>
    </w:p>
    <w:p w14:paraId="42953C92" w14:textId="77777777" w:rsidR="00BB484E" w:rsidRPr="00C3439C" w:rsidRDefault="00BB484E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2B4CB17B" w14:textId="00D25CFE" w:rsidR="00BB484E" w:rsidRPr="00C3439C" w:rsidRDefault="00BB484E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From 31st </w:t>
      </w:r>
      <w:proofErr w:type="gram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March,</w:t>
      </w:r>
      <w:proofErr w:type="gram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2022 or any other date as may be specified by the Central Board of Direct Taxes (“CBDT”), </w:t>
      </w:r>
      <w:proofErr w:type="spell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KFin</w:t>
      </w:r>
      <w:proofErr w:type="spell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will accept only valid PANs and also verify that the PAN in the existing folios are valid; i.e. it is linked to the Aadhaar number of the shareholder. The folios wherein PAN is not valid as on the notified cut-off date of 31st </w:t>
      </w:r>
      <w:proofErr w:type="gramStart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>March,</w:t>
      </w:r>
      <w:proofErr w:type="gramEnd"/>
      <w:r w:rsidRPr="00BB484E">
        <w:rPr>
          <w:rFonts w:ascii="Times New Roman" w:eastAsia="Times New Roman" w:hAnsi="Times New Roman" w:cs="Times New Roman"/>
          <w:color w:val="333333"/>
          <w:lang w:eastAsia="en-IN"/>
        </w:rPr>
        <w:t xml:space="preserve"> 2022 or any other date as may be specified by the CBDT, will also be frozen.</w:t>
      </w:r>
    </w:p>
    <w:p w14:paraId="21462470" w14:textId="1AF09DF4" w:rsidR="005139C2" w:rsidRPr="00C3439C" w:rsidRDefault="005139C2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1BE860A3" w14:textId="19BB302F" w:rsidR="005139C2" w:rsidRPr="00BB484E" w:rsidRDefault="005139C2" w:rsidP="00C343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In terms of the Circulars, </w:t>
      </w:r>
      <w:proofErr w:type="spellStart"/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w.e.f</w:t>
      </w:r>
      <w:proofErr w:type="spellEnd"/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1st </w:t>
      </w:r>
      <w:proofErr w:type="gramStart"/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January,</w:t>
      </w:r>
      <w:proofErr w:type="gramEnd"/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2022, </w:t>
      </w:r>
      <w:proofErr w:type="spellStart"/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KFin</w:t>
      </w:r>
      <w:proofErr w:type="spellEnd"/>
      <w:r w:rsidRPr="00C3439C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will not process any service request or complaint from shareholder(s)/claimant(s), unless PAN, KYC and Nomination documents/details are available.</w:t>
      </w:r>
    </w:p>
    <w:p w14:paraId="74ABB11E" w14:textId="77777777" w:rsidR="00BB484E" w:rsidRPr="00C3439C" w:rsidRDefault="00BB484E" w:rsidP="00C343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b w:val="0"/>
          <w:bCs w:val="0"/>
          <w:sz w:val="22"/>
          <w:szCs w:val="22"/>
        </w:rPr>
      </w:pPr>
    </w:p>
    <w:p w14:paraId="0BB28EB7" w14:textId="77777777" w:rsidR="00C6734C" w:rsidRPr="00C3439C" w:rsidRDefault="00C6734C" w:rsidP="00C3439C">
      <w:pPr>
        <w:contextualSpacing/>
        <w:jc w:val="both"/>
        <w:rPr>
          <w:rFonts w:ascii="Times New Roman" w:hAnsi="Times New Roman" w:cs="Times New Roman"/>
        </w:rPr>
      </w:pPr>
    </w:p>
    <w:p w14:paraId="078290C0" w14:textId="77777777" w:rsidR="00AF36D0" w:rsidRPr="00C3439C" w:rsidRDefault="00AF36D0" w:rsidP="00C3439C">
      <w:pPr>
        <w:contextualSpacing/>
        <w:jc w:val="both"/>
        <w:rPr>
          <w:rFonts w:ascii="Times New Roman" w:hAnsi="Times New Roman" w:cs="Times New Roman"/>
        </w:rPr>
      </w:pPr>
    </w:p>
    <w:sectPr w:rsidR="00AF36D0" w:rsidRPr="00C3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6A2C"/>
    <w:multiLevelType w:val="multilevel"/>
    <w:tmpl w:val="F3B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136BA"/>
    <w:multiLevelType w:val="multilevel"/>
    <w:tmpl w:val="5F9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8"/>
    <w:rsid w:val="0007227C"/>
    <w:rsid w:val="00196228"/>
    <w:rsid w:val="002936CF"/>
    <w:rsid w:val="005139C2"/>
    <w:rsid w:val="006D068C"/>
    <w:rsid w:val="00737252"/>
    <w:rsid w:val="009077EF"/>
    <w:rsid w:val="009667E8"/>
    <w:rsid w:val="00AF36D0"/>
    <w:rsid w:val="00BB484E"/>
    <w:rsid w:val="00C3439C"/>
    <w:rsid w:val="00C6734C"/>
    <w:rsid w:val="00D80E09"/>
    <w:rsid w:val="00D834EF"/>
    <w:rsid w:val="00E6310A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A3D0"/>
  <w15:chartTrackingRefBased/>
  <w15:docId w15:val="{47EE489F-3265-4BF9-ABC9-3A67C33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0E0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0E09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80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80E09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68C"/>
    <w:rPr>
      <w:color w:val="0000FF"/>
      <w:u w:val="single"/>
    </w:rPr>
  </w:style>
  <w:style w:type="table" w:styleId="TableGrid">
    <w:name w:val="Table Grid"/>
    <w:basedOn w:val="TableNormal"/>
    <w:uiPriority w:val="39"/>
    <w:rsid w:val="009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nward.ris@kfintech.com" TargetMode="External"/><Relationship Id="rId5" Type="http://schemas.openxmlformats.org/officeDocument/2006/relationships/hyperlink" Target="https://dxc.com/in/en/about-us/xchanging-solutions-limited-investor-relations&#160;or%20that%20of%20KFin&#160;www.kfintech.com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Mayank</dc:creator>
  <cp:keywords/>
  <dc:description/>
  <cp:lastModifiedBy>Jain, Mayank</cp:lastModifiedBy>
  <cp:revision>14</cp:revision>
  <dcterms:created xsi:type="dcterms:W3CDTF">2022-04-27T12:40:00Z</dcterms:created>
  <dcterms:modified xsi:type="dcterms:W3CDTF">2022-04-27T12:53:00Z</dcterms:modified>
</cp:coreProperties>
</file>